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B2" w:rsidRDefault="000117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C37B2" w:rsidRPr="005975C8" w:rsidRDefault="00011758">
      <w:pPr>
        <w:widowControl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общественном обсуждении проекта приказа финансового управления  администрации Петровского муниципального района Саратовской области «</w:t>
      </w:r>
      <w:r w:rsidRPr="005975C8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приказ финансового управления администрации Петровского муниципального района Саратовской области от 26.07.2016 г. №100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37B2" w:rsidRPr="005975C8" w:rsidRDefault="001C37B2" w:rsidP="005975C8">
      <w:pPr>
        <w:widowControl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B2" w:rsidRDefault="00011758">
      <w:pPr>
        <w:pStyle w:val="Default"/>
        <w:ind w:firstLine="284"/>
        <w:jc w:val="both"/>
      </w:pPr>
      <w:r>
        <w:rPr>
          <w:sz w:val="28"/>
          <w:szCs w:val="28"/>
        </w:rPr>
        <w:t xml:space="preserve">В соответствии с постановлением администрации Петровского муниципального района от 6 ноября 2015 года № 903-П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Саратовской области, содержанию указанных актов и обеспечению их исполнения» </w:t>
      </w:r>
      <w:r w:rsidR="005975C8">
        <w:rPr>
          <w:sz w:val="28"/>
          <w:szCs w:val="28"/>
        </w:rPr>
        <w:t xml:space="preserve">(с изменениями от 4 октября 2019 года №1117-П) </w:t>
      </w:r>
      <w:r>
        <w:rPr>
          <w:sz w:val="28"/>
          <w:szCs w:val="28"/>
        </w:rPr>
        <w:t>проект приказа финансового управления  администрации Петровского муниципального района Саратовской области «О внесении изменения в приказ финансового управления администрации Петровского муниципального района Саратовской области от 26.07.2016 г. №100» подлежит обязательному общественному обсуждению.</w:t>
      </w:r>
    </w:p>
    <w:p w:rsidR="001C37B2" w:rsidRDefault="00011758">
      <w:pPr>
        <w:pStyle w:val="Default"/>
        <w:ind w:firstLine="284"/>
        <w:jc w:val="both"/>
      </w:pPr>
      <w:r>
        <w:rPr>
          <w:sz w:val="28"/>
          <w:szCs w:val="28"/>
        </w:rPr>
        <w:t xml:space="preserve">Просим заинтересованных лиц направлять свои предложения и замечания на проект приказа в финансовое управление администрации Петровского муниципального района Саратовской области по адресу: г. Петровск, пл. Ленина, д. 5, а также на электронную почту: </w:t>
      </w:r>
      <w:hyperlink r:id="rId7" w:history="1">
        <w:r>
          <w:rPr>
            <w:rStyle w:val="ad"/>
            <w:sz w:val="28"/>
            <w:szCs w:val="28"/>
            <w:lang w:val="en-US"/>
          </w:rPr>
          <w:t>fo</w:t>
        </w:r>
        <w:r>
          <w:rPr>
            <w:rStyle w:val="ad"/>
            <w:sz w:val="28"/>
            <w:szCs w:val="28"/>
          </w:rPr>
          <w:t>34</w:t>
        </w:r>
        <w:r>
          <w:rPr>
            <w:rStyle w:val="ad"/>
            <w:sz w:val="28"/>
            <w:szCs w:val="28"/>
            <w:lang w:val="en-US"/>
          </w:rPr>
          <w:t>petrovsk</w:t>
        </w:r>
        <w:r>
          <w:rPr>
            <w:rStyle w:val="ad"/>
            <w:sz w:val="28"/>
            <w:szCs w:val="28"/>
          </w:rPr>
          <w:t>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 w:rsidR="005975C8">
        <w:rPr>
          <w:rStyle w:val="ad"/>
          <w:sz w:val="28"/>
          <w:szCs w:val="28"/>
        </w:rPr>
        <w:t>.</w:t>
      </w:r>
    </w:p>
    <w:p w:rsidR="001C37B2" w:rsidRDefault="0001175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приказа принимаются в срок до 17 часов </w:t>
      </w:r>
      <w:r w:rsidR="005975C8">
        <w:rPr>
          <w:sz w:val="28"/>
          <w:szCs w:val="28"/>
        </w:rPr>
        <w:t>2</w:t>
      </w:r>
      <w:r w:rsidR="00CA674F">
        <w:rPr>
          <w:sz w:val="28"/>
          <w:szCs w:val="28"/>
        </w:rPr>
        <w:t>5</w:t>
      </w:r>
      <w:r w:rsidR="005975C8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5975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произвольной форме с указанием контактных данных лица, внесшего обоснованные предложения (замечания).</w:t>
      </w: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/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2718438</wp:posOffset>
            </wp:positionH>
            <wp:positionV relativeFrom="paragraph">
              <wp:posOffset>-328763</wp:posOffset>
            </wp:positionV>
            <wp:extent cx="676271" cy="819146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biLevel thresh="50000"/>
                      <a:lum bright="6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>Финансовое управление администрации Петровского</w:t>
      </w: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 xml:space="preserve"> района Саратовской области </w:t>
      </w:r>
    </w:p>
    <w:p w:rsidR="001C37B2" w:rsidRDefault="00D8348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1.1pt;margin-top:10.25pt;width:468pt;height:0;z-index:251659264;visibility:visible" o:connectortype="elbow" strokeweight="4.5pt"/>
        </w:pict>
      </w:r>
    </w:p>
    <w:p w:rsidR="001C37B2" w:rsidRDefault="001C37B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1C37B2" w:rsidRDefault="00011758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ПРИКАЗ </w:t>
      </w:r>
    </w:p>
    <w:p w:rsidR="001C37B2" w:rsidRDefault="001C37B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                   № </w:t>
      </w: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г. Петровск</w:t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О внесении изменения в приказ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управления администрации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Петровского муниципального района Саратовской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от 26.07.2016 г. №100</w:t>
      </w:r>
    </w:p>
    <w:p w:rsidR="001C37B2" w:rsidRDefault="001C37B2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Петровского муниципального района Саратовской области от 06 ноября 2015 года №903-П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Саратовской области, содержанию указанных актов и обеспечению их исполнения», постановлением администрации Петровского муниципального района Саратовской области от 28 января 2016 года № 46-П «Об утверждении Правил определения требований к закупаемым отдельным видам товаров, работ, услуг (в том числе предельных цен товаров, работ, услуг)»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ПРИКАЗЫВАЮ: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26.07.2016 г. №100 «Об утверждении перечня отдельных видов товаров, работ, услуг (в том числе предельных цен товаров, работ, услуг), закупаемых финансовым управлением администрации Петровского муниципального района Саратовской области» </w:t>
      </w:r>
      <w:r w:rsidR="005975C8">
        <w:rPr>
          <w:rFonts w:ascii="Times New Roman" w:hAnsi="Times New Roman" w:cs="Times New Roman"/>
          <w:sz w:val="28"/>
          <w:szCs w:val="28"/>
        </w:rPr>
        <w:t xml:space="preserve">(с изменениями от 31.01.2020 г. №12)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приказу изложить в новой редакции согласно приложению.</w:t>
      </w: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настоящий приказ в единой информационной системе в сфере закупок в течение семи рабочих дней со дня его принятия.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1C37B2" w:rsidRDefault="001C37B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</w:p>
    <w:p w:rsidR="005975C8" w:rsidRDefault="005975C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Начальник финансового управления</w:t>
      </w:r>
    </w:p>
    <w:p w:rsidR="001C37B2" w:rsidRDefault="0001175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Петровского</w:t>
      </w:r>
    </w:p>
    <w:p w:rsidR="001C37B2" w:rsidRDefault="00011758">
      <w:pPr>
        <w:widowControl/>
        <w:suppressAutoHyphens w:val="0"/>
        <w:spacing w:after="0" w:line="240" w:lineRule="auto"/>
        <w:textAlignment w:val="auto"/>
        <w:sectPr w:rsidR="001C37B2">
          <w:headerReference w:type="default" r:id="rId9"/>
          <w:pgSz w:w="11906" w:h="16838"/>
          <w:pgMar w:top="1134" w:right="707" w:bottom="851" w:left="1134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района                                                                           Л.В. Ястребова  </w:t>
      </w:r>
    </w:p>
    <w:p w:rsidR="001C37B2" w:rsidRDefault="00011758" w:rsidP="005975C8">
      <w:pPr>
        <w:pStyle w:val="Standard"/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администрации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 муниципального района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№______</w:t>
      </w:r>
    </w:p>
    <w:p w:rsidR="001C37B2" w:rsidRDefault="00011758">
      <w:pPr>
        <w:pStyle w:val="Standard"/>
        <w:spacing w:after="0" w:line="240" w:lineRule="auto"/>
        <w:ind w:left="567" w:right="395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ПЕРЕЧЕНЬ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отдельных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видов товаров, работ, услуг, в отношении которых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устанавливаются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потребительские свойства (в том числе характеристики качества) </w:t>
      </w:r>
    </w:p>
    <w:p w:rsidR="001C37B2" w:rsidRDefault="00011758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иные характеристики, имеющие влияние на цену отдельных видов товаров, работ, услуг</w:t>
      </w:r>
    </w:p>
    <w:tbl>
      <w:tblPr>
        <w:tblW w:w="1565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020"/>
        <w:gridCol w:w="1701"/>
        <w:gridCol w:w="992"/>
        <w:gridCol w:w="1195"/>
        <w:gridCol w:w="1658"/>
        <w:gridCol w:w="1996"/>
        <w:gridCol w:w="1559"/>
        <w:gridCol w:w="1672"/>
        <w:gridCol w:w="1813"/>
        <w:gridCol w:w="1399"/>
      </w:tblGrid>
      <w:tr w:rsidR="001C37B2" w:rsidTr="001C37B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Петровского муниципального района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и иным характеристикам, утвержденные заказчиком</w:t>
            </w:r>
          </w:p>
        </w:tc>
      </w:tr>
      <w:tr w:rsidR="001C37B2" w:rsidTr="001C37B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Петровского муниципального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значение*</w:t>
            </w:r>
          </w:p>
        </w:tc>
      </w:tr>
      <w:tr w:rsidR="001C37B2" w:rsidTr="001C37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37B2" w:rsidTr="001C37B2">
        <w:tc>
          <w:tcPr>
            <w:tcW w:w="1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</w:t>
            </w:r>
            <w:hyperlink r:id="rId10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приложением №2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к закупаемым органами местного самоуправления Петровского муниципального района и подведомственными им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утвержденных постановлением администрации Петровского муниципального района</w:t>
            </w:r>
          </w:p>
        </w:tc>
      </w:tr>
      <w:tr w:rsidR="001C37B2" w:rsidTr="001C37B2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D83488">
            <w:pPr>
              <w:autoSpaceDE w:val="0"/>
              <w:spacing w:after="0" w:line="240" w:lineRule="auto"/>
              <w:jc w:val="center"/>
            </w:pPr>
            <w:hyperlink r:id="rId11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тип экрана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тип экрана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rPr>
          <w:trHeight w:val="1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2.16-2.8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8-16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250-500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 - RW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встроенный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4 часов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1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9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D83488">
            <w:pPr>
              <w:autoSpaceDE w:val="0"/>
              <w:spacing w:after="0" w:line="240" w:lineRule="auto"/>
            </w:pPr>
            <w:hyperlink r:id="rId12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(моноблок/системный блок и монитор)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(моноблок/системный блок и монитор)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системный блок и монитор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экрана/монитора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экрана/монитора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 w:rsidP="008678B9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2</w:t>
            </w:r>
            <w:r w:rsidR="00867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″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4 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bookmarkStart w:id="0" w:name="_GoBack"/>
            <w:bookmarkEnd w:id="0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1 терабайта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опционально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D83488">
            <w:pPr>
              <w:autoSpaceDE w:val="0"/>
              <w:spacing w:after="0" w:line="240" w:lineRule="auto"/>
            </w:pPr>
            <w:hyperlink r:id="rId13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 (струйный/лазерный - для принтера)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 (струйный/лазерный - для принтера)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сканирования (для сканера)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сканирования (для сканера)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1200Х1200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(цветной/черно-белый)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(цветной/черно-белый)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черно-белый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формат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печати/сканирования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печати/сканирования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мин./не более 18 стр. в мин.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0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опционально</w:t>
            </w:r>
            <w:proofErr w:type="gram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7B2" w:rsidRDefault="001C37B2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37B2" w:rsidSect="001C37B2">
      <w:headerReference w:type="default" r:id="rId14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88" w:rsidRDefault="00D83488" w:rsidP="001C37B2">
      <w:pPr>
        <w:spacing w:after="0" w:line="240" w:lineRule="auto"/>
      </w:pPr>
      <w:r>
        <w:separator/>
      </w:r>
    </w:p>
  </w:endnote>
  <w:endnote w:type="continuationSeparator" w:id="0">
    <w:p w:rsidR="00D83488" w:rsidRDefault="00D83488" w:rsidP="001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88" w:rsidRDefault="00D83488" w:rsidP="001C37B2">
      <w:pPr>
        <w:spacing w:after="0" w:line="240" w:lineRule="auto"/>
      </w:pPr>
      <w:r w:rsidRPr="001C37B2">
        <w:rPr>
          <w:color w:val="000000"/>
        </w:rPr>
        <w:separator/>
      </w:r>
    </w:p>
  </w:footnote>
  <w:footnote w:type="continuationSeparator" w:id="0">
    <w:p w:rsidR="00D83488" w:rsidRDefault="00D83488" w:rsidP="001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B2" w:rsidRDefault="001C37B2">
    <w:pPr>
      <w:pStyle w:val="a9"/>
      <w:tabs>
        <w:tab w:val="clear" w:pos="4677"/>
        <w:tab w:val="clear" w:pos="9355"/>
        <w:tab w:val="left" w:pos="7755"/>
      </w:tabs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B2" w:rsidRDefault="001C37B2">
    <w:pPr>
      <w:pStyle w:val="a9"/>
      <w:tabs>
        <w:tab w:val="clear" w:pos="4677"/>
        <w:tab w:val="clear" w:pos="9355"/>
        <w:tab w:val="left" w:pos="7755"/>
      </w:tabs>
      <w:jc w:val="right"/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24225"/>
    <w:multiLevelType w:val="multilevel"/>
    <w:tmpl w:val="A4BE872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7B2"/>
    <w:rsid w:val="00011758"/>
    <w:rsid w:val="001C37B2"/>
    <w:rsid w:val="002A3C32"/>
    <w:rsid w:val="005975C8"/>
    <w:rsid w:val="0064578C"/>
    <w:rsid w:val="00673EE7"/>
    <w:rsid w:val="008678B9"/>
    <w:rsid w:val="00CA674F"/>
    <w:rsid w:val="00D83488"/>
    <w:rsid w:val="00E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5:docId w15:val="{63FEE1D1-07F4-4090-9877-D4287F2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37B2"/>
    <w:pPr>
      <w:suppressAutoHyphens/>
    </w:pPr>
  </w:style>
  <w:style w:type="paragraph" w:styleId="10">
    <w:name w:val="heading 1"/>
    <w:basedOn w:val="a"/>
    <w:next w:val="a"/>
    <w:rsid w:val="001C37B2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7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C37B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C37B2"/>
    <w:pPr>
      <w:spacing w:after="140" w:line="288" w:lineRule="auto"/>
    </w:pPr>
  </w:style>
  <w:style w:type="paragraph" w:styleId="a3">
    <w:name w:val="Title"/>
    <w:basedOn w:val="Standard"/>
    <w:next w:val="Textbody"/>
    <w:rsid w:val="001C3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Subtitle"/>
    <w:basedOn w:val="a3"/>
    <w:next w:val="Textbody"/>
    <w:rsid w:val="001C37B2"/>
    <w:pPr>
      <w:jc w:val="center"/>
    </w:pPr>
    <w:rPr>
      <w:i/>
      <w:iCs/>
    </w:rPr>
  </w:style>
  <w:style w:type="paragraph" w:styleId="a5">
    <w:name w:val="List"/>
    <w:basedOn w:val="Textbody"/>
    <w:rsid w:val="001C37B2"/>
    <w:rPr>
      <w:rFonts w:cs="Mangal"/>
      <w:sz w:val="24"/>
    </w:rPr>
  </w:style>
  <w:style w:type="paragraph" w:styleId="a6">
    <w:name w:val="caption"/>
    <w:basedOn w:val="Standard"/>
    <w:rsid w:val="001C3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37B2"/>
    <w:pPr>
      <w:suppressLineNumbers/>
    </w:pPr>
    <w:rPr>
      <w:rFonts w:cs="Mangal"/>
      <w:sz w:val="24"/>
    </w:rPr>
  </w:style>
  <w:style w:type="paragraph" w:styleId="a7">
    <w:name w:val="Balloon Text"/>
    <w:basedOn w:val="Standard"/>
    <w:rsid w:val="001C37B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1C37B2"/>
  </w:style>
  <w:style w:type="paragraph" w:customStyle="1" w:styleId="TableContents">
    <w:name w:val="Table Contents"/>
    <w:basedOn w:val="Standard"/>
    <w:rsid w:val="001C37B2"/>
  </w:style>
  <w:style w:type="paragraph" w:customStyle="1" w:styleId="ConsPlusNormal">
    <w:name w:val="ConsPlusNormal"/>
    <w:rsid w:val="001C37B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8">
    <w:name w:val="Текст выноски Знак"/>
    <w:basedOn w:val="a0"/>
    <w:rsid w:val="001C37B2"/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rsid w:val="001C37B2"/>
  </w:style>
  <w:style w:type="paragraph" w:styleId="ab">
    <w:name w:val="foot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rsid w:val="001C37B2"/>
  </w:style>
  <w:style w:type="character" w:customStyle="1" w:styleId="11">
    <w:name w:val="Заголовок 1 Знак"/>
    <w:basedOn w:val="a0"/>
    <w:rsid w:val="001C37B2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styleId="ad">
    <w:name w:val="Hyperlink"/>
    <w:basedOn w:val="a0"/>
    <w:rsid w:val="001C37B2"/>
    <w:rPr>
      <w:color w:val="0000FF"/>
      <w:u w:val="single"/>
    </w:rPr>
  </w:style>
  <w:style w:type="paragraph" w:customStyle="1" w:styleId="Default">
    <w:name w:val="Default"/>
    <w:rsid w:val="001C37B2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1">
    <w:name w:val="Нет списка1"/>
    <w:basedOn w:val="a2"/>
    <w:rsid w:val="001C37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3E31B391FE9690489A127F720CC3305B3C7521ADB66CE8260039315192BD07C1DA884F24204CBE187DEDE35C7462B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34petrovsk@yandex.ru/" TargetMode="External"/><Relationship Id="rId12" Type="http://schemas.openxmlformats.org/officeDocument/2006/relationships/hyperlink" Target="consultantplus://offline/ref=9F83E31B391FE9690489A127F720CC3305B3C7521ADB66CE8260039315192BD07C1DA884F24204CCEB87DEDE35C7462B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3E31B391FE9690489A127F720CC3305B3C7521ADB66CE8260039315192BD07C1DA884F24204CEEB87DEDE35C7462B7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ABC0ED0CF615F5B7836EC4E3C7F55BFF5635E79505C95BC439386CA466C4EEDAF1D4374A71A9082FD31EEC96788CD5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6</cp:revision>
  <cp:lastPrinted>2021-05-17T05:23:00Z</cp:lastPrinted>
  <dcterms:created xsi:type="dcterms:W3CDTF">2020-01-22T04:23:00Z</dcterms:created>
  <dcterms:modified xsi:type="dcterms:W3CDTF">2021-05-17T05:23:00Z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