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2718438</wp:posOffset>
            </wp:positionH>
            <wp:positionV relativeFrom="paragraph">
              <wp:posOffset>-328763</wp:posOffset>
            </wp:positionV>
            <wp:extent cx="676271" cy="819146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biLevel thresh="50000"/>
                      <a:lum bright="6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 xml:space="preserve">Финансовое управление администрации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>Петровского</w:t>
      </w:r>
      <w:proofErr w:type="gramEnd"/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 xml:space="preserve">муниципального района Саратовской области </w:t>
      </w:r>
    </w:p>
    <w:p w:rsidR="001C37B2" w:rsidRDefault="008A33AA">
      <w:pPr>
        <w:widowControl/>
        <w:suppressAutoHyphens w:val="0"/>
        <w:spacing w:after="0" w:line="240" w:lineRule="auto"/>
        <w:jc w:val="center"/>
        <w:textAlignment w:val="auto"/>
      </w:pPr>
      <w:r w:rsidRPr="008A33AA"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left:0;text-align:left;margin-left:1.1pt;margin-top:10.25pt;width:468pt;height:0;z-index:251659264;visibility:visible" o:connectortype="elbow" strokeweight="4.5pt"/>
        </w:pict>
      </w:r>
    </w:p>
    <w:p w:rsidR="001C37B2" w:rsidRDefault="001C37B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1C37B2" w:rsidRDefault="00011758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ПРИКАЗ </w:t>
      </w:r>
    </w:p>
    <w:p w:rsidR="001C37B2" w:rsidRDefault="001C37B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от </w:t>
      </w:r>
      <w:r w:rsidR="00904C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28.06.2022 г.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№</w:t>
      </w:r>
      <w:r w:rsidR="00904C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</w:t>
      </w: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г. Петровск</w:t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2C7F75" w:rsidRDefault="002C7F75" w:rsidP="002C7F75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Об утверждении перечня отдельных видов</w:t>
      </w:r>
    </w:p>
    <w:p w:rsidR="002C7F75" w:rsidRDefault="002C7F75" w:rsidP="002C7F75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товаров, работ, услуг (в том числе </w:t>
      </w:r>
      <w:proofErr w:type="gramEnd"/>
    </w:p>
    <w:p w:rsidR="002C7F75" w:rsidRDefault="002C7F75" w:rsidP="002C7F75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предельных цен товаров, работ, услуг),</w:t>
      </w:r>
    </w:p>
    <w:p w:rsidR="002C7F75" w:rsidRDefault="002C7F75" w:rsidP="002C7F75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закупаемых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финансовым управлением </w:t>
      </w:r>
    </w:p>
    <w:p w:rsidR="002C7F75" w:rsidRDefault="002C7F75" w:rsidP="002C7F75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муниципального</w:t>
      </w:r>
    </w:p>
    <w:p w:rsidR="002C7F75" w:rsidRDefault="002C7F75" w:rsidP="002C7F75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района Саратовской области </w:t>
      </w:r>
    </w:p>
    <w:p w:rsidR="001C37B2" w:rsidRDefault="001C37B2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</w:p>
    <w:p w:rsidR="001C37B2" w:rsidRDefault="00011758">
      <w:pPr>
        <w:widowControl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Петровского муниципального района Саратовской области от 06 ноября 2015 года №903-П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муниципального района Саратовской области, содержанию указанных актов и обеспечению их исполнения», постановлением администрации Петровского муниципального района Саратовской области от 28 января 2016 года № 46-П «Об утверждении Правил определения требований к закупаемым отдельным видам товаров, работ, услуг (в том числе предельных цен товаров, работ, услуг)»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ПРИКАЗЫВАЮ:</w:t>
      </w:r>
    </w:p>
    <w:p w:rsidR="002C7F75" w:rsidRDefault="00011758" w:rsidP="002C7F7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7F75">
        <w:rPr>
          <w:rFonts w:ascii="Times New Roman" w:hAnsi="Times New Roman" w:cs="Times New Roman"/>
          <w:sz w:val="28"/>
          <w:szCs w:val="28"/>
        </w:rPr>
        <w:t>Утвердить Перечень отдельных видов товаров, работ, услуг, в отношении которых устанавливаются потребительские свойства (в том числе характеристика качества) и иные характеристики, имеющие влияние на цену отдельных видов товаров, работ, услуг, согласно приложению.</w:t>
      </w:r>
    </w:p>
    <w:p w:rsidR="002C7F75" w:rsidRDefault="002C7F75" w:rsidP="002C7F75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утратившему силу</w:t>
      </w:r>
      <w:r w:rsidRPr="002C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 Петровского муниципального района Саратовской области от 26.07.2016 г. №100 «Об утверждении перечня отдельных видов товаров, работ, услуг (в том числе предельных цен товаров, работ, услуг), закупаемых финансовым управлением администрации Петровского муниципального района Саратовской области»</w:t>
      </w:r>
      <w:r w:rsidR="00752683">
        <w:rPr>
          <w:rFonts w:ascii="Times New Roman" w:hAnsi="Times New Roman" w:cs="Times New Roman"/>
          <w:sz w:val="28"/>
          <w:szCs w:val="28"/>
        </w:rPr>
        <w:t xml:space="preserve"> (с изм. от 31.01.2020 г. №12, от 26.05.2021г. №36)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7B2" w:rsidRDefault="00011758">
      <w:pPr>
        <w:widowControl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Разместить настоящий приказ в единой информационной системе в сфере закупок в течение семи рабочих дней со дня его принятия.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5975C8" w:rsidRDefault="005975C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</w:p>
    <w:p w:rsidR="001C37B2" w:rsidRDefault="00711FF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И.о. н</w:t>
      </w:r>
      <w:r w:rsidR="00011758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а</w:t>
      </w:r>
      <w:r w:rsidR="00011758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 финансового управления</w:t>
      </w:r>
    </w:p>
    <w:p w:rsidR="001C37B2" w:rsidRDefault="0001175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Петровского</w:t>
      </w:r>
      <w:proofErr w:type="gramEnd"/>
    </w:p>
    <w:p w:rsidR="001C37B2" w:rsidRDefault="00011758">
      <w:pPr>
        <w:widowControl/>
        <w:suppressAutoHyphens w:val="0"/>
        <w:spacing w:after="0" w:line="240" w:lineRule="auto"/>
        <w:textAlignment w:val="auto"/>
        <w:sectPr w:rsidR="001C37B2" w:rsidSect="002C7F75">
          <w:headerReference w:type="default" r:id="rId8"/>
          <w:pgSz w:w="11906" w:h="16838"/>
          <w:pgMar w:top="1134" w:right="707" w:bottom="426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муниципального района                                                        </w:t>
      </w:r>
      <w:r w:rsidR="00904C9A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                   </w:t>
      </w:r>
      <w:r w:rsidR="00711FF4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Т.И. Ганина</w:t>
      </w: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  </w:t>
      </w:r>
    </w:p>
    <w:p w:rsidR="001C37B2" w:rsidRDefault="00011758" w:rsidP="005975C8">
      <w:pPr>
        <w:pStyle w:val="Standard"/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 муниципального района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1C37B2" w:rsidRDefault="00011758" w:rsidP="005975C8">
      <w:pPr>
        <w:pStyle w:val="Standard"/>
        <w:spacing w:after="0" w:line="240" w:lineRule="auto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04C9A">
        <w:rPr>
          <w:rFonts w:ascii="Times New Roman" w:hAnsi="Times New Roman"/>
          <w:sz w:val="24"/>
          <w:szCs w:val="24"/>
        </w:rPr>
        <w:t>28.06.2022г. № 37</w:t>
      </w:r>
    </w:p>
    <w:p w:rsidR="001C37B2" w:rsidRDefault="00011758">
      <w:pPr>
        <w:pStyle w:val="Standard"/>
        <w:spacing w:after="0" w:line="240" w:lineRule="auto"/>
        <w:ind w:left="567" w:right="395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ПЕРЕЧЕНЬ</w:t>
      </w:r>
    </w:p>
    <w:p w:rsidR="001C37B2" w:rsidRDefault="0001175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1C37B2" w:rsidRDefault="0001175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1C37B2" w:rsidRDefault="00011758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tbl>
      <w:tblPr>
        <w:tblW w:w="1565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020"/>
        <w:gridCol w:w="1701"/>
        <w:gridCol w:w="992"/>
        <w:gridCol w:w="1195"/>
        <w:gridCol w:w="1658"/>
        <w:gridCol w:w="1996"/>
        <w:gridCol w:w="1559"/>
        <w:gridCol w:w="1672"/>
        <w:gridCol w:w="1813"/>
        <w:gridCol w:w="1399"/>
      </w:tblGrid>
      <w:tr w:rsidR="001C37B2" w:rsidTr="001C37B2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Петровского муниципального района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</w:t>
            </w:r>
          </w:p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качеству) и иным характеристикам,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</w:t>
            </w:r>
          </w:p>
        </w:tc>
      </w:tr>
      <w:tr w:rsidR="001C37B2" w:rsidTr="001C37B2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Петровского муниципального района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значение*</w:t>
            </w:r>
          </w:p>
        </w:tc>
      </w:tr>
      <w:tr w:rsidR="001C37B2" w:rsidTr="001C37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37B2" w:rsidTr="001C37B2">
        <w:tc>
          <w:tcPr>
            <w:tcW w:w="15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</w:t>
            </w:r>
            <w:hyperlink r:id="rId9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приложением №2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к закупаемым органами местного самоуправления Петровского муниципального района и подведомственными им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утвержденных постановлением администрации Петровского муниципального района</w:t>
            </w:r>
          </w:p>
        </w:tc>
      </w:tr>
      <w:tr w:rsidR="001C37B2" w:rsidTr="001C37B2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8A33AA">
            <w:pPr>
              <w:autoSpaceDE w:val="0"/>
              <w:spacing w:after="0" w:line="240" w:lineRule="auto"/>
              <w:jc w:val="center"/>
            </w:pPr>
            <w:hyperlink r:id="rId10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37B2" w:rsidTr="001C37B2">
        <w:trPr>
          <w:trHeight w:val="1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6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2.16-2.8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8-16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5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250-500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5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4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 - RW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6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часов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1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43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98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8A33AA">
            <w:pPr>
              <w:autoSpaceDE w:val="0"/>
              <w:spacing w:after="0" w:line="240" w:lineRule="auto"/>
            </w:pPr>
            <w:hyperlink r:id="rId11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моноблок, системный блок и монитор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37B2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 w:rsidP="008678B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="00867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″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терабайта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8A33AA">
            <w:pPr>
              <w:autoSpaceDE w:val="0"/>
              <w:spacing w:after="0" w:line="240" w:lineRule="auto"/>
            </w:pPr>
            <w:hyperlink r:id="rId12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цветной, черно-белый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мин./не более 18 стр. в мин.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rPr>
          <w:trHeight w:val="20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7B2" w:rsidRDefault="001C37B2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37B2" w:rsidSect="001C37B2">
      <w:head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A7" w:rsidRDefault="006913A7" w:rsidP="001C37B2">
      <w:pPr>
        <w:spacing w:after="0" w:line="240" w:lineRule="auto"/>
      </w:pPr>
      <w:r>
        <w:separator/>
      </w:r>
    </w:p>
  </w:endnote>
  <w:endnote w:type="continuationSeparator" w:id="0">
    <w:p w:rsidR="006913A7" w:rsidRDefault="006913A7" w:rsidP="001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A7" w:rsidRDefault="006913A7" w:rsidP="001C37B2">
      <w:pPr>
        <w:spacing w:after="0" w:line="240" w:lineRule="auto"/>
      </w:pPr>
      <w:r w:rsidRPr="001C37B2">
        <w:rPr>
          <w:color w:val="000000"/>
        </w:rPr>
        <w:separator/>
      </w:r>
    </w:p>
  </w:footnote>
  <w:footnote w:type="continuationSeparator" w:id="0">
    <w:p w:rsidR="006913A7" w:rsidRDefault="006913A7" w:rsidP="001C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225"/>
    <w:multiLevelType w:val="multilevel"/>
    <w:tmpl w:val="A4BE872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7B2"/>
    <w:rsid w:val="00011758"/>
    <w:rsid w:val="001417E2"/>
    <w:rsid w:val="001C37B2"/>
    <w:rsid w:val="001E3198"/>
    <w:rsid w:val="002A3C32"/>
    <w:rsid w:val="002C7F75"/>
    <w:rsid w:val="005975C8"/>
    <w:rsid w:val="0064578C"/>
    <w:rsid w:val="00673EE7"/>
    <w:rsid w:val="006913A7"/>
    <w:rsid w:val="00711FF4"/>
    <w:rsid w:val="00752683"/>
    <w:rsid w:val="00857F30"/>
    <w:rsid w:val="008678B9"/>
    <w:rsid w:val="008A33AA"/>
    <w:rsid w:val="00904C9A"/>
    <w:rsid w:val="00A04287"/>
    <w:rsid w:val="00A1455E"/>
    <w:rsid w:val="00CA674F"/>
    <w:rsid w:val="00CF1DD5"/>
    <w:rsid w:val="00D37E2E"/>
    <w:rsid w:val="00D83488"/>
    <w:rsid w:val="00E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единительная линия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7B2"/>
    <w:pPr>
      <w:suppressAutoHyphens/>
    </w:pPr>
  </w:style>
  <w:style w:type="paragraph" w:styleId="10">
    <w:name w:val="heading 1"/>
    <w:basedOn w:val="a"/>
    <w:next w:val="a"/>
    <w:rsid w:val="001C37B2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7B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C37B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C37B2"/>
    <w:pPr>
      <w:spacing w:after="140" w:line="288" w:lineRule="auto"/>
    </w:pPr>
  </w:style>
  <w:style w:type="paragraph" w:styleId="a3">
    <w:name w:val="Title"/>
    <w:basedOn w:val="Standard"/>
    <w:next w:val="Textbody"/>
    <w:rsid w:val="001C37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Subtitle"/>
    <w:basedOn w:val="a3"/>
    <w:next w:val="Textbody"/>
    <w:rsid w:val="001C37B2"/>
    <w:pPr>
      <w:jc w:val="center"/>
    </w:pPr>
    <w:rPr>
      <w:i/>
      <w:iCs/>
    </w:rPr>
  </w:style>
  <w:style w:type="paragraph" w:styleId="a5">
    <w:name w:val="List"/>
    <w:basedOn w:val="Textbody"/>
    <w:rsid w:val="001C37B2"/>
    <w:rPr>
      <w:rFonts w:cs="Mangal"/>
      <w:sz w:val="24"/>
    </w:rPr>
  </w:style>
  <w:style w:type="paragraph" w:styleId="a6">
    <w:name w:val="caption"/>
    <w:basedOn w:val="Standard"/>
    <w:rsid w:val="001C3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37B2"/>
    <w:pPr>
      <w:suppressLineNumbers/>
    </w:pPr>
    <w:rPr>
      <w:rFonts w:cs="Mangal"/>
      <w:sz w:val="24"/>
    </w:rPr>
  </w:style>
  <w:style w:type="paragraph" w:styleId="a7">
    <w:name w:val="Balloon Text"/>
    <w:basedOn w:val="Standard"/>
    <w:rsid w:val="001C37B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1C37B2"/>
  </w:style>
  <w:style w:type="paragraph" w:customStyle="1" w:styleId="TableContents">
    <w:name w:val="Table Contents"/>
    <w:basedOn w:val="Standard"/>
    <w:rsid w:val="001C37B2"/>
  </w:style>
  <w:style w:type="paragraph" w:customStyle="1" w:styleId="ConsPlusNormal">
    <w:name w:val="ConsPlusNormal"/>
    <w:rsid w:val="001C37B2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8">
    <w:name w:val="Текст выноски Знак"/>
    <w:basedOn w:val="a0"/>
    <w:rsid w:val="001C37B2"/>
    <w:rPr>
      <w:rFonts w:ascii="Tahoma" w:eastAsia="Tahoma" w:hAnsi="Tahoma" w:cs="Tahoma"/>
      <w:sz w:val="16"/>
      <w:szCs w:val="16"/>
    </w:rPr>
  </w:style>
  <w:style w:type="paragraph" w:styleId="a9">
    <w:name w:val="head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rsid w:val="001C37B2"/>
  </w:style>
  <w:style w:type="paragraph" w:styleId="ab">
    <w:name w:val="foot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rsid w:val="001C37B2"/>
  </w:style>
  <w:style w:type="character" w:customStyle="1" w:styleId="11">
    <w:name w:val="Заголовок 1 Знак"/>
    <w:basedOn w:val="a0"/>
    <w:rsid w:val="001C37B2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styleId="ad">
    <w:name w:val="Hyperlink"/>
    <w:basedOn w:val="a0"/>
    <w:rsid w:val="001C37B2"/>
    <w:rPr>
      <w:color w:val="0000FF"/>
      <w:u w:val="single"/>
    </w:rPr>
  </w:style>
  <w:style w:type="paragraph" w:customStyle="1" w:styleId="Default">
    <w:name w:val="Default"/>
    <w:rsid w:val="001C37B2"/>
    <w:pPr>
      <w:widowControl/>
      <w:autoSpaceDE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1">
    <w:name w:val="Нет списка1"/>
    <w:basedOn w:val="a2"/>
    <w:rsid w:val="001C37B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83E31B391FE9690489A127F720CC3305B3C7521ADB66CE8260039315192BD07C1DA884F24204CBE187DEDE35C7462B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3E31B391FE9690489A127F720CC3305B3C7521ADB66CE8260039315192BD07C1DA884F24204CCEB87DEDE35C7462B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83E31B391FE9690489A127F720CC3305B3C7521ADB66CE8260039315192BD07C1DA884F24204CEEB87DEDE35C7462B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BC0ED0CF615F5B7836EC4E3C7F55BFF5635E79505C95BC439386CA466C4EEDAF1D4374A71A9082FD31EEC96788CD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cp:lastPrinted>2022-06-28T04:41:00Z</cp:lastPrinted>
  <dcterms:created xsi:type="dcterms:W3CDTF">2022-06-28T04:42:00Z</dcterms:created>
  <dcterms:modified xsi:type="dcterms:W3CDTF">2022-06-28T04:42:00Z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